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B1" w:rsidRDefault="00644CB1" w:rsidP="00644CB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>
        <w:rPr>
          <w:bCs/>
          <w:sz w:val="26"/>
          <w:szCs w:val="26"/>
        </w:rPr>
        <w:t>Д</w:t>
      </w:r>
      <w:r>
        <w:rPr>
          <w:sz w:val="26"/>
          <w:szCs w:val="26"/>
        </w:rPr>
        <w:t>епартамент образования Мэрии г. Грозного</w:t>
      </w:r>
    </w:p>
    <w:p w:rsidR="00644CB1" w:rsidRDefault="00644CB1" w:rsidP="00644CB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Муниципальное бюджетное общеобразовательное учреждение </w:t>
      </w:r>
    </w:p>
    <w:p w:rsidR="00644CB1" w:rsidRDefault="00644CB1" w:rsidP="00644C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«Средняя общеобразовательная школа № 54 </w:t>
      </w:r>
      <w:proofErr w:type="spellStart"/>
      <w:r>
        <w:rPr>
          <w:rFonts w:eastAsia="Calibri"/>
          <w:b/>
          <w:sz w:val="26"/>
          <w:szCs w:val="26"/>
        </w:rPr>
        <w:t>им.ХасанаКааева</w:t>
      </w:r>
      <w:proofErr w:type="spellEnd"/>
      <w:r>
        <w:rPr>
          <w:rFonts w:eastAsia="Calibri"/>
          <w:b/>
          <w:sz w:val="26"/>
          <w:szCs w:val="26"/>
        </w:rPr>
        <w:t>» г. Грозного</w:t>
      </w:r>
    </w:p>
    <w:p w:rsidR="00644CB1" w:rsidRDefault="00644CB1" w:rsidP="00644CB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 xml:space="preserve"> (МБОУ «СОШ № 54 </w:t>
      </w:r>
      <w:proofErr w:type="spellStart"/>
      <w:r>
        <w:rPr>
          <w:b/>
          <w:sz w:val="26"/>
          <w:szCs w:val="26"/>
        </w:rPr>
        <w:t>им.ХасанаКааева</w:t>
      </w:r>
      <w:proofErr w:type="spellEnd"/>
      <w:r>
        <w:rPr>
          <w:b/>
          <w:sz w:val="26"/>
          <w:szCs w:val="26"/>
        </w:rPr>
        <w:t>» г. Грозного</w:t>
      </w:r>
      <w:r>
        <w:rPr>
          <w:rFonts w:eastAsia="Calibri"/>
          <w:b/>
          <w:sz w:val="26"/>
          <w:szCs w:val="26"/>
        </w:rPr>
        <w:t>)</w:t>
      </w:r>
    </w:p>
    <w:p w:rsidR="00644CB1" w:rsidRDefault="00644CB1" w:rsidP="00644C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44CB1" w:rsidRDefault="00644CB1" w:rsidP="00644C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spellStart"/>
      <w:r>
        <w:rPr>
          <w:sz w:val="26"/>
          <w:szCs w:val="26"/>
        </w:rPr>
        <w:t>Соьлжа-Г</w:t>
      </w:r>
      <w:proofErr w:type="spellEnd"/>
      <w:r>
        <w:rPr>
          <w:sz w:val="26"/>
          <w:szCs w:val="26"/>
          <w:lang w:val="en-US"/>
        </w:rPr>
        <w:t>I</w:t>
      </w:r>
      <w:proofErr w:type="spellStart"/>
      <w:r>
        <w:rPr>
          <w:sz w:val="26"/>
          <w:szCs w:val="26"/>
        </w:rPr>
        <w:t>алинМэриндешаран</w:t>
      </w:r>
      <w:proofErr w:type="spellEnd"/>
      <w:r>
        <w:rPr>
          <w:sz w:val="26"/>
          <w:szCs w:val="26"/>
        </w:rPr>
        <w:t xml:space="preserve"> департамент</w:t>
      </w:r>
    </w:p>
    <w:p w:rsidR="00644CB1" w:rsidRDefault="00644CB1" w:rsidP="00644CB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Соьлжа-Г1алин </w:t>
      </w:r>
      <w:proofErr w:type="spellStart"/>
      <w:r>
        <w:rPr>
          <w:b/>
          <w:bCs/>
          <w:sz w:val="26"/>
          <w:szCs w:val="26"/>
        </w:rPr>
        <w:t>муниципальнибюджетниюкъардешаран</w:t>
      </w:r>
      <w:proofErr w:type="spellEnd"/>
    </w:p>
    <w:p w:rsidR="00644CB1" w:rsidRDefault="00644CB1" w:rsidP="00644C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хьукмат</w:t>
      </w:r>
      <w:proofErr w:type="spellEnd"/>
      <w:r>
        <w:rPr>
          <w:b/>
          <w:sz w:val="26"/>
          <w:szCs w:val="26"/>
        </w:rPr>
        <w:t xml:space="preserve"> «</w:t>
      </w:r>
      <w:proofErr w:type="spellStart"/>
      <w:r>
        <w:rPr>
          <w:b/>
          <w:sz w:val="26"/>
          <w:szCs w:val="26"/>
        </w:rPr>
        <w:t>КааевХасанан</w:t>
      </w:r>
      <w:proofErr w:type="spellEnd"/>
      <w:r>
        <w:rPr>
          <w:b/>
          <w:sz w:val="26"/>
          <w:szCs w:val="26"/>
        </w:rPr>
        <w:t xml:space="preserve"> ц1арах </w:t>
      </w:r>
      <w:proofErr w:type="spellStart"/>
      <w:r>
        <w:rPr>
          <w:b/>
          <w:sz w:val="26"/>
          <w:szCs w:val="26"/>
        </w:rPr>
        <w:t>йолу</w:t>
      </w:r>
      <w:proofErr w:type="spellEnd"/>
      <w:r>
        <w:rPr>
          <w:b/>
          <w:sz w:val="26"/>
          <w:szCs w:val="26"/>
        </w:rPr>
        <w:t xml:space="preserve"> № 54 </w:t>
      </w:r>
      <w:proofErr w:type="spellStart"/>
      <w:r>
        <w:rPr>
          <w:b/>
          <w:sz w:val="26"/>
          <w:szCs w:val="26"/>
        </w:rPr>
        <w:t>юкъардешаран</w:t>
      </w:r>
      <w:proofErr w:type="spellEnd"/>
      <w:r>
        <w:rPr>
          <w:b/>
          <w:sz w:val="26"/>
          <w:szCs w:val="26"/>
        </w:rPr>
        <w:t xml:space="preserve"> школа»</w:t>
      </w:r>
    </w:p>
    <w:p w:rsidR="00644CB1" w:rsidRDefault="006A3B95" w:rsidP="00644CB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(Соьлжа</w:t>
      </w:r>
      <w:r w:rsidR="00644CB1">
        <w:rPr>
          <w:b/>
          <w:sz w:val="26"/>
          <w:szCs w:val="26"/>
        </w:rPr>
        <w:t xml:space="preserve">-Г1алин </w:t>
      </w:r>
      <w:proofErr w:type="spellStart"/>
      <w:r w:rsidR="00644CB1">
        <w:rPr>
          <w:b/>
          <w:sz w:val="26"/>
          <w:szCs w:val="26"/>
        </w:rPr>
        <w:t>МБЮХь</w:t>
      </w:r>
      <w:proofErr w:type="spellEnd"/>
      <w:r w:rsidR="00644CB1">
        <w:rPr>
          <w:b/>
          <w:sz w:val="26"/>
          <w:szCs w:val="26"/>
        </w:rPr>
        <w:t xml:space="preserve"> «</w:t>
      </w:r>
      <w:proofErr w:type="spellStart"/>
      <w:r w:rsidR="00644CB1">
        <w:rPr>
          <w:b/>
          <w:sz w:val="26"/>
          <w:szCs w:val="26"/>
        </w:rPr>
        <w:t>КааевХасанан</w:t>
      </w:r>
      <w:proofErr w:type="spellEnd"/>
      <w:r w:rsidR="00644CB1">
        <w:rPr>
          <w:b/>
          <w:sz w:val="26"/>
          <w:szCs w:val="26"/>
        </w:rPr>
        <w:t xml:space="preserve"> ц1арахь </w:t>
      </w:r>
      <w:proofErr w:type="spellStart"/>
      <w:r w:rsidR="00644CB1">
        <w:rPr>
          <w:b/>
          <w:sz w:val="26"/>
          <w:szCs w:val="26"/>
        </w:rPr>
        <w:t>йолу</w:t>
      </w:r>
      <w:proofErr w:type="spellEnd"/>
      <w:r w:rsidR="00644CB1">
        <w:rPr>
          <w:b/>
          <w:sz w:val="26"/>
          <w:szCs w:val="26"/>
        </w:rPr>
        <w:t xml:space="preserve"> № 54 ЮЮШ»</w:t>
      </w:r>
      <w:r w:rsidR="00644CB1">
        <w:rPr>
          <w:rFonts w:eastAsia="Calibri"/>
          <w:b/>
          <w:sz w:val="26"/>
          <w:szCs w:val="26"/>
        </w:rPr>
        <w:t>)</w:t>
      </w:r>
    </w:p>
    <w:p w:rsidR="00644CB1" w:rsidRDefault="00644CB1" w:rsidP="00644CB1">
      <w:pPr>
        <w:jc w:val="center"/>
        <w:rPr>
          <w:b/>
          <w:sz w:val="28"/>
          <w:szCs w:val="28"/>
        </w:rPr>
      </w:pPr>
    </w:p>
    <w:p w:rsidR="00644CB1" w:rsidRDefault="00642C92" w:rsidP="00644CB1">
      <w:pPr>
        <w:pStyle w:val="example-p"/>
        <w:tabs>
          <w:tab w:val="left" w:pos="4029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ВИПИСКА ИЗ ПРОТОКОЛА</w:t>
      </w:r>
    </w:p>
    <w:p w:rsidR="00642C92" w:rsidRDefault="00642C92" w:rsidP="00642C92">
      <w:pPr>
        <w:pStyle w:val="example-p"/>
        <w:tabs>
          <w:tab w:val="left" w:pos="402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B555F9">
        <w:rPr>
          <w:rFonts w:ascii="Times New Roman" w:hAnsi="Times New Roman" w:cs="Times New Roman"/>
          <w:b/>
          <w:sz w:val="28"/>
          <w:szCs w:val="28"/>
        </w:rPr>
        <w:t>аседания педагогического совета</w:t>
      </w:r>
    </w:p>
    <w:p w:rsidR="000B310B" w:rsidRDefault="000B310B" w:rsidP="00644CB1">
      <w:pPr>
        <w:pStyle w:val="example-p"/>
        <w:tabs>
          <w:tab w:val="left" w:pos="4029"/>
        </w:tabs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44CB1" w:rsidRDefault="00D9467D" w:rsidP="00644CB1">
      <w:pPr>
        <w:pStyle w:val="example-p"/>
        <w:tabs>
          <w:tab w:val="left" w:pos="4029"/>
        </w:tabs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F716F6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января</w:t>
      </w:r>
      <w:r w:rsidR="00936FD9">
        <w:rPr>
          <w:rFonts w:ascii="Times New Roman" w:hAnsi="Times New Roman" w:cs="Times New Roman"/>
          <w:i/>
          <w:sz w:val="28"/>
          <w:szCs w:val="28"/>
          <w:u w:val="single"/>
        </w:rPr>
        <w:t xml:space="preserve"> 2022</w:t>
      </w:r>
      <w:r w:rsidR="00644CB1" w:rsidRPr="00545B4C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</w:t>
      </w:r>
      <w:r w:rsidR="00644CB1" w:rsidRPr="00545B4C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0B310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</w:t>
      </w:r>
      <w:r w:rsidR="00644CB1" w:rsidRPr="00545B4C">
        <w:rPr>
          <w:rFonts w:ascii="Times New Roman" w:hAnsi="Times New Roman" w:cs="Times New Roman"/>
          <w:i/>
          <w:sz w:val="28"/>
          <w:szCs w:val="28"/>
        </w:rPr>
        <w:t>№ ___</w:t>
      </w:r>
      <w:r w:rsidR="00F716F6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644CB1" w:rsidRPr="00545B4C">
        <w:rPr>
          <w:rFonts w:ascii="Times New Roman" w:hAnsi="Times New Roman" w:cs="Times New Roman"/>
          <w:i/>
          <w:sz w:val="28"/>
          <w:szCs w:val="28"/>
        </w:rPr>
        <w:t>____</w:t>
      </w:r>
    </w:p>
    <w:p w:rsidR="00644CB1" w:rsidRPr="00642C92" w:rsidRDefault="00644CB1" w:rsidP="00642C92">
      <w:pPr>
        <w:pStyle w:val="example-p"/>
        <w:tabs>
          <w:tab w:val="left" w:pos="4029"/>
        </w:tabs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44CB1" w:rsidRDefault="00644CB1" w:rsidP="00644CB1">
      <w:pPr>
        <w:pStyle w:val="example-p"/>
        <w:tabs>
          <w:tab w:val="left" w:pos="255"/>
          <w:tab w:val="left" w:pos="402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4CB1" w:rsidRPr="00545B4C" w:rsidRDefault="00644CB1" w:rsidP="00644CB1">
      <w:pPr>
        <w:pStyle w:val="example-p"/>
        <w:tabs>
          <w:tab w:val="left" w:pos="255"/>
          <w:tab w:val="left" w:pos="402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5B4C">
        <w:rPr>
          <w:rFonts w:ascii="Times New Roman" w:hAnsi="Times New Roman" w:cs="Times New Roman"/>
          <w:sz w:val="28"/>
          <w:szCs w:val="28"/>
        </w:rPr>
        <w:t xml:space="preserve">Председательствующий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644CB1" w:rsidRPr="00545B4C" w:rsidRDefault="00644CB1" w:rsidP="00644CB1">
      <w:pPr>
        <w:pStyle w:val="example-p"/>
        <w:tabs>
          <w:tab w:val="left" w:pos="255"/>
          <w:tab w:val="left" w:pos="402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5B4C">
        <w:rPr>
          <w:rFonts w:ascii="Times New Roman" w:hAnsi="Times New Roman" w:cs="Times New Roman"/>
          <w:sz w:val="28"/>
          <w:szCs w:val="28"/>
        </w:rPr>
        <w:t xml:space="preserve">Секретарь -  </w:t>
      </w:r>
      <w:proofErr w:type="spellStart"/>
      <w:r w:rsidRPr="00545B4C">
        <w:rPr>
          <w:rFonts w:ascii="Times New Roman" w:hAnsi="Times New Roman" w:cs="Times New Roman"/>
          <w:sz w:val="28"/>
          <w:szCs w:val="28"/>
        </w:rPr>
        <w:t>Муталиева</w:t>
      </w:r>
      <w:proofErr w:type="spellEnd"/>
      <w:r w:rsidRPr="00545B4C">
        <w:rPr>
          <w:rFonts w:ascii="Times New Roman" w:hAnsi="Times New Roman" w:cs="Times New Roman"/>
          <w:sz w:val="28"/>
          <w:szCs w:val="28"/>
        </w:rPr>
        <w:t xml:space="preserve"> Ф.Р.</w:t>
      </w:r>
    </w:p>
    <w:p w:rsidR="0047391E" w:rsidRPr="00020490" w:rsidRDefault="00644CB1" w:rsidP="00020490">
      <w:pPr>
        <w:pStyle w:val="example-p"/>
        <w:tabs>
          <w:tab w:val="left" w:pos="255"/>
          <w:tab w:val="left" w:pos="402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45B4C">
        <w:rPr>
          <w:rFonts w:ascii="Times New Roman" w:hAnsi="Times New Roman" w:cs="Times New Roman"/>
          <w:sz w:val="28"/>
          <w:szCs w:val="28"/>
        </w:rPr>
        <w:t>Присутствовали</w:t>
      </w:r>
      <w:r w:rsidR="00194AB2">
        <w:rPr>
          <w:rFonts w:ascii="Times New Roman" w:hAnsi="Times New Roman" w:cs="Times New Roman"/>
          <w:sz w:val="28"/>
          <w:szCs w:val="28"/>
        </w:rPr>
        <w:t xml:space="preserve"> – </w:t>
      </w:r>
      <w:r w:rsidRPr="00545B4C">
        <w:rPr>
          <w:rFonts w:ascii="Times New Roman" w:hAnsi="Times New Roman" w:cs="Times New Roman"/>
          <w:sz w:val="28"/>
          <w:szCs w:val="28"/>
        </w:rPr>
        <w:t>1</w:t>
      </w:r>
      <w:r w:rsidR="00D9467D">
        <w:rPr>
          <w:rFonts w:ascii="Times New Roman" w:hAnsi="Times New Roman" w:cs="Times New Roman"/>
          <w:sz w:val="28"/>
          <w:szCs w:val="28"/>
        </w:rPr>
        <w:t>09</w:t>
      </w:r>
    </w:p>
    <w:p w:rsidR="00DD763D" w:rsidRDefault="0047391E" w:rsidP="002C0157">
      <w:pPr>
        <w:spacing w:line="276" w:lineRule="auto"/>
        <w:ind w:firstLine="426"/>
        <w:jc w:val="center"/>
        <w:rPr>
          <w:b/>
          <w:sz w:val="28"/>
          <w:szCs w:val="28"/>
        </w:rPr>
      </w:pPr>
      <w:r w:rsidRPr="00D633C0">
        <w:rPr>
          <w:b/>
          <w:sz w:val="28"/>
          <w:szCs w:val="28"/>
        </w:rPr>
        <w:t>Повестка дня</w:t>
      </w:r>
    </w:p>
    <w:p w:rsidR="00C46FD0" w:rsidRDefault="00C46FD0" w:rsidP="002C0157">
      <w:pPr>
        <w:spacing w:line="276" w:lineRule="auto"/>
        <w:ind w:firstLine="426"/>
        <w:jc w:val="center"/>
        <w:rPr>
          <w:b/>
          <w:sz w:val="28"/>
          <w:szCs w:val="28"/>
        </w:rPr>
      </w:pPr>
    </w:p>
    <w:p w:rsidR="00693CF1" w:rsidRPr="000B310B" w:rsidRDefault="000B310B" w:rsidP="000B31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D9467D" w:rsidRPr="000B310B">
        <w:rPr>
          <w:sz w:val="28"/>
          <w:szCs w:val="28"/>
        </w:rPr>
        <w:t xml:space="preserve">Об утверждении </w:t>
      </w:r>
      <w:proofErr w:type="gramStart"/>
      <w:r w:rsidR="00D9467D" w:rsidRPr="000B310B">
        <w:rPr>
          <w:sz w:val="28"/>
          <w:szCs w:val="28"/>
        </w:rPr>
        <w:t>актуализированных</w:t>
      </w:r>
      <w:proofErr w:type="gramEnd"/>
      <w:r w:rsidR="00D9467D" w:rsidRPr="000B310B">
        <w:rPr>
          <w:sz w:val="28"/>
          <w:szCs w:val="28"/>
        </w:rPr>
        <w:t xml:space="preserve"> ЛНА</w:t>
      </w:r>
      <w:r w:rsidR="00531EC0" w:rsidRPr="000B310B">
        <w:rPr>
          <w:sz w:val="28"/>
          <w:szCs w:val="28"/>
        </w:rPr>
        <w:t xml:space="preserve">. (Отчёт зам. директора по НМР </w:t>
      </w:r>
      <w:proofErr w:type="spellStart"/>
      <w:r w:rsidR="00F716F6" w:rsidRPr="000B310B">
        <w:rPr>
          <w:sz w:val="28"/>
          <w:szCs w:val="28"/>
        </w:rPr>
        <w:t>Хаюрина</w:t>
      </w:r>
      <w:proofErr w:type="spellEnd"/>
      <w:r w:rsidR="00F716F6" w:rsidRPr="000B310B">
        <w:rPr>
          <w:sz w:val="28"/>
          <w:szCs w:val="28"/>
        </w:rPr>
        <w:t xml:space="preserve"> Б.И</w:t>
      </w:r>
      <w:r w:rsidR="00531EC0" w:rsidRPr="000B310B">
        <w:rPr>
          <w:sz w:val="28"/>
          <w:szCs w:val="28"/>
        </w:rPr>
        <w:t>.)</w:t>
      </w:r>
    </w:p>
    <w:p w:rsidR="00D9467D" w:rsidRPr="00936FD9" w:rsidRDefault="000B310B" w:rsidP="00936FD9">
      <w:pPr>
        <w:spacing w:line="360" w:lineRule="auto"/>
        <w:ind w:firstLine="284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proofErr w:type="gramStart"/>
      <w:r w:rsidR="00CF471C" w:rsidRPr="002C0157">
        <w:rPr>
          <w:b/>
          <w:color w:val="000000"/>
          <w:sz w:val="28"/>
          <w:szCs w:val="28"/>
        </w:rPr>
        <w:t xml:space="preserve">По первому вопросу слушали зам. директора по НМР </w:t>
      </w:r>
      <w:proofErr w:type="spellStart"/>
      <w:r>
        <w:rPr>
          <w:b/>
          <w:color w:val="000000"/>
          <w:sz w:val="28"/>
          <w:szCs w:val="28"/>
        </w:rPr>
        <w:t>Хаюрину</w:t>
      </w:r>
      <w:proofErr w:type="spellEnd"/>
      <w:r>
        <w:rPr>
          <w:b/>
          <w:color w:val="000000"/>
          <w:sz w:val="28"/>
          <w:szCs w:val="28"/>
        </w:rPr>
        <w:t xml:space="preserve"> Б.И.   </w:t>
      </w:r>
      <w:r w:rsidR="00D9467D">
        <w:rPr>
          <w:color w:val="000000"/>
          <w:sz w:val="28"/>
          <w:szCs w:val="28"/>
        </w:rPr>
        <w:t>Она отметила, что н</w:t>
      </w:r>
      <w:r w:rsidR="00D9467D" w:rsidRPr="00D9467D">
        <w:rPr>
          <w:color w:val="000000"/>
          <w:sz w:val="28"/>
          <w:szCs w:val="28"/>
        </w:rPr>
        <w:t>а основании Федерального закона «Об образовании в Российской Федерации» № 273</w:t>
      </w:r>
      <w:r w:rsidR="00D9467D">
        <w:rPr>
          <w:color w:val="000000"/>
          <w:sz w:val="28"/>
          <w:szCs w:val="28"/>
        </w:rPr>
        <w:t xml:space="preserve"> – ФЗ от 29.12.2012г.</w:t>
      </w:r>
      <w:r w:rsidR="00192859">
        <w:rPr>
          <w:color w:val="000000"/>
          <w:sz w:val="28"/>
          <w:szCs w:val="28"/>
        </w:rPr>
        <w:t xml:space="preserve">, </w:t>
      </w:r>
      <w:r w:rsidR="00D9467D">
        <w:rPr>
          <w:color w:val="000000"/>
          <w:sz w:val="28"/>
          <w:szCs w:val="28"/>
        </w:rPr>
        <w:t>со всту</w:t>
      </w:r>
      <w:r w:rsidR="00D9467D" w:rsidRPr="00D9467D">
        <w:rPr>
          <w:color w:val="000000"/>
          <w:sz w:val="28"/>
          <w:szCs w:val="28"/>
        </w:rPr>
        <w:t>плением в действие приказ</w:t>
      </w:r>
      <w:r w:rsidR="00192859">
        <w:rPr>
          <w:color w:val="000000"/>
          <w:sz w:val="28"/>
          <w:szCs w:val="28"/>
        </w:rPr>
        <w:t xml:space="preserve">ов </w:t>
      </w:r>
      <w:r w:rsidR="00D9467D" w:rsidRPr="00D9467D">
        <w:rPr>
          <w:color w:val="000000"/>
          <w:sz w:val="28"/>
          <w:szCs w:val="28"/>
        </w:rPr>
        <w:t xml:space="preserve"> Министерства Просвещения Российской Федерации </w:t>
      </w:r>
      <w:r w:rsidR="00192859" w:rsidRPr="00192859">
        <w:rPr>
          <w:color w:val="000000" w:themeColor="text1"/>
          <w:sz w:val="28"/>
          <w:shd w:val="clear" w:color="auto" w:fill="FBFBFB"/>
        </w:rPr>
        <w:t>от 31.05.2021 N 286 "</w:t>
      </w:r>
      <w:r w:rsidR="00192859" w:rsidRPr="00192859">
        <w:rPr>
          <w:bCs/>
          <w:color w:val="000000" w:themeColor="text1"/>
          <w:sz w:val="28"/>
          <w:shd w:val="clear" w:color="auto" w:fill="FBFBFB"/>
        </w:rPr>
        <w:t>Об</w:t>
      </w:r>
      <w:r w:rsidR="00192859" w:rsidRPr="00192859">
        <w:rPr>
          <w:color w:val="000000" w:themeColor="text1"/>
          <w:sz w:val="28"/>
          <w:shd w:val="clear" w:color="auto" w:fill="FBFBFB"/>
        </w:rPr>
        <w:t> </w:t>
      </w:r>
      <w:r w:rsidR="00192859" w:rsidRPr="00192859">
        <w:rPr>
          <w:bCs/>
          <w:color w:val="000000" w:themeColor="text1"/>
          <w:sz w:val="28"/>
          <w:shd w:val="clear" w:color="auto" w:fill="FBFBFB"/>
        </w:rPr>
        <w:t>утверждении</w:t>
      </w:r>
      <w:r w:rsidR="00192859" w:rsidRPr="00192859">
        <w:rPr>
          <w:color w:val="000000" w:themeColor="text1"/>
          <w:sz w:val="28"/>
          <w:shd w:val="clear" w:color="auto" w:fill="FBFBFB"/>
        </w:rPr>
        <w:t> </w:t>
      </w:r>
      <w:r w:rsidR="00192859" w:rsidRPr="00192859">
        <w:rPr>
          <w:bCs/>
          <w:color w:val="000000" w:themeColor="text1"/>
          <w:sz w:val="28"/>
          <w:shd w:val="clear" w:color="auto" w:fill="FBFBFB"/>
        </w:rPr>
        <w:t>федерального</w:t>
      </w:r>
      <w:r w:rsidR="00192859" w:rsidRPr="00192859">
        <w:rPr>
          <w:color w:val="000000" w:themeColor="text1"/>
          <w:sz w:val="28"/>
          <w:shd w:val="clear" w:color="auto" w:fill="FBFBFB"/>
        </w:rPr>
        <w:t> </w:t>
      </w:r>
      <w:r w:rsidR="00192859" w:rsidRPr="00192859">
        <w:rPr>
          <w:bCs/>
          <w:color w:val="000000" w:themeColor="text1"/>
          <w:sz w:val="28"/>
          <w:shd w:val="clear" w:color="auto" w:fill="FBFBFB"/>
        </w:rPr>
        <w:t>государственного</w:t>
      </w:r>
      <w:r w:rsidR="00192859" w:rsidRPr="00192859">
        <w:rPr>
          <w:color w:val="000000" w:themeColor="text1"/>
          <w:sz w:val="28"/>
          <w:shd w:val="clear" w:color="auto" w:fill="FBFBFB"/>
        </w:rPr>
        <w:t> </w:t>
      </w:r>
      <w:r w:rsidR="00192859" w:rsidRPr="00192859">
        <w:rPr>
          <w:bCs/>
          <w:color w:val="000000" w:themeColor="text1"/>
          <w:sz w:val="28"/>
          <w:shd w:val="clear" w:color="auto" w:fill="FBFBFB"/>
        </w:rPr>
        <w:t>образовательного</w:t>
      </w:r>
      <w:r w:rsidR="00192859" w:rsidRPr="00192859">
        <w:rPr>
          <w:color w:val="000000" w:themeColor="text1"/>
          <w:sz w:val="28"/>
          <w:shd w:val="clear" w:color="auto" w:fill="FBFBFB"/>
        </w:rPr>
        <w:t> </w:t>
      </w:r>
      <w:r w:rsidR="00192859" w:rsidRPr="00192859">
        <w:rPr>
          <w:bCs/>
          <w:color w:val="000000" w:themeColor="text1"/>
          <w:sz w:val="28"/>
          <w:shd w:val="clear" w:color="auto" w:fill="FBFBFB"/>
        </w:rPr>
        <w:t>стандарта</w:t>
      </w:r>
      <w:r w:rsidR="00192859" w:rsidRPr="00192859">
        <w:rPr>
          <w:color w:val="000000" w:themeColor="text1"/>
          <w:sz w:val="28"/>
          <w:shd w:val="clear" w:color="auto" w:fill="FBFBFB"/>
        </w:rPr>
        <w:t> </w:t>
      </w:r>
      <w:r w:rsidR="00192859" w:rsidRPr="00192859">
        <w:rPr>
          <w:bCs/>
          <w:color w:val="000000" w:themeColor="text1"/>
          <w:sz w:val="28"/>
          <w:shd w:val="clear" w:color="auto" w:fill="FBFBFB"/>
        </w:rPr>
        <w:t>начального</w:t>
      </w:r>
      <w:r w:rsidR="00192859" w:rsidRPr="00192859">
        <w:rPr>
          <w:color w:val="000000" w:themeColor="text1"/>
          <w:sz w:val="28"/>
          <w:shd w:val="clear" w:color="auto" w:fill="FBFBFB"/>
        </w:rPr>
        <w:t> </w:t>
      </w:r>
      <w:r w:rsidR="00192859" w:rsidRPr="00192859">
        <w:rPr>
          <w:bCs/>
          <w:color w:val="000000" w:themeColor="text1"/>
          <w:sz w:val="28"/>
          <w:shd w:val="clear" w:color="auto" w:fill="FBFBFB"/>
        </w:rPr>
        <w:t>общего</w:t>
      </w:r>
      <w:r w:rsidR="00192859" w:rsidRPr="00192859">
        <w:rPr>
          <w:color w:val="000000" w:themeColor="text1"/>
          <w:sz w:val="28"/>
          <w:shd w:val="clear" w:color="auto" w:fill="FBFBFB"/>
        </w:rPr>
        <w:t> </w:t>
      </w:r>
      <w:r w:rsidR="00192859" w:rsidRPr="00192859">
        <w:rPr>
          <w:bCs/>
          <w:color w:val="000000" w:themeColor="text1"/>
          <w:sz w:val="28"/>
          <w:shd w:val="clear" w:color="auto" w:fill="FBFBFB"/>
        </w:rPr>
        <w:t>образования</w:t>
      </w:r>
      <w:r w:rsidR="00192859" w:rsidRPr="00936FD9">
        <w:rPr>
          <w:color w:val="000000" w:themeColor="text1"/>
          <w:sz w:val="32"/>
          <w:shd w:val="clear" w:color="auto" w:fill="FBFBFB"/>
        </w:rPr>
        <w:t>"</w:t>
      </w:r>
      <w:r w:rsidR="00936FD9" w:rsidRPr="00936FD9">
        <w:rPr>
          <w:rFonts w:ascii="Arial" w:hAnsi="Arial" w:cs="Arial"/>
          <w:color w:val="333333"/>
          <w:sz w:val="24"/>
          <w:shd w:val="clear" w:color="auto" w:fill="FBFBFB"/>
        </w:rPr>
        <w:t> </w:t>
      </w:r>
      <w:r w:rsidR="00936FD9" w:rsidRPr="00936FD9">
        <w:rPr>
          <w:color w:val="333333"/>
          <w:sz w:val="28"/>
          <w:shd w:val="clear" w:color="auto" w:fill="FBFBFB"/>
        </w:rPr>
        <w:t xml:space="preserve"> и</w:t>
      </w:r>
      <w:r w:rsidR="00192859" w:rsidRPr="00192859">
        <w:rPr>
          <w:color w:val="000000"/>
          <w:sz w:val="28"/>
          <w:szCs w:val="28"/>
        </w:rPr>
        <w:t>№ 287 "Об утверждении федерального государственного образовательного стандарта основного общего</w:t>
      </w:r>
      <w:proofErr w:type="gramEnd"/>
      <w:r w:rsidR="00192859" w:rsidRPr="00192859">
        <w:rPr>
          <w:color w:val="000000"/>
          <w:sz w:val="28"/>
          <w:szCs w:val="28"/>
        </w:rPr>
        <w:t xml:space="preserve"> образования</w:t>
      </w:r>
      <w:proofErr w:type="gramStart"/>
      <w:r w:rsidR="00192859" w:rsidRPr="00192859">
        <w:rPr>
          <w:color w:val="000000"/>
          <w:sz w:val="28"/>
          <w:szCs w:val="28"/>
        </w:rPr>
        <w:t>"</w:t>
      </w:r>
      <w:r w:rsidR="00D9467D">
        <w:rPr>
          <w:color w:val="000000"/>
          <w:sz w:val="28"/>
          <w:szCs w:val="28"/>
        </w:rPr>
        <w:t>в</w:t>
      </w:r>
      <w:proofErr w:type="gramEnd"/>
      <w:r w:rsidR="00D9467D">
        <w:rPr>
          <w:color w:val="000000"/>
          <w:sz w:val="28"/>
          <w:szCs w:val="28"/>
        </w:rPr>
        <w:t xml:space="preserve">озникла необходимость актуализации локальных нормативных актов, которые утрачивают силу. </w:t>
      </w:r>
      <w:r w:rsidR="00D9467D" w:rsidRPr="00D9467D">
        <w:rPr>
          <w:color w:val="000000"/>
          <w:sz w:val="28"/>
          <w:szCs w:val="28"/>
        </w:rPr>
        <w:t>Заместителям</w:t>
      </w:r>
      <w:r w:rsidR="00D9467D">
        <w:rPr>
          <w:color w:val="000000"/>
          <w:sz w:val="28"/>
          <w:szCs w:val="28"/>
        </w:rPr>
        <w:t>и</w:t>
      </w:r>
      <w:r w:rsidR="00D9467D" w:rsidRPr="00D9467D">
        <w:rPr>
          <w:color w:val="000000"/>
          <w:sz w:val="28"/>
          <w:szCs w:val="28"/>
        </w:rPr>
        <w:t xml:space="preserve"> директора по УР </w:t>
      </w:r>
      <w:proofErr w:type="spellStart"/>
      <w:r w:rsidR="00D9467D">
        <w:rPr>
          <w:color w:val="000000"/>
          <w:sz w:val="28"/>
          <w:szCs w:val="28"/>
        </w:rPr>
        <w:t>Ахмаевой</w:t>
      </w:r>
      <w:proofErr w:type="spellEnd"/>
      <w:r w:rsidR="00D9467D">
        <w:rPr>
          <w:color w:val="000000"/>
          <w:sz w:val="28"/>
          <w:szCs w:val="28"/>
        </w:rPr>
        <w:t xml:space="preserve"> А.Б., </w:t>
      </w:r>
      <w:proofErr w:type="spellStart"/>
      <w:r w:rsidR="00D9467D" w:rsidRPr="00D9467D">
        <w:rPr>
          <w:color w:val="000000"/>
          <w:sz w:val="28"/>
          <w:szCs w:val="28"/>
        </w:rPr>
        <w:t>Хаюриной</w:t>
      </w:r>
      <w:proofErr w:type="spellEnd"/>
      <w:r w:rsidR="00D9467D" w:rsidRPr="00D9467D">
        <w:rPr>
          <w:color w:val="000000"/>
          <w:sz w:val="28"/>
          <w:szCs w:val="28"/>
        </w:rPr>
        <w:t xml:space="preserve"> Б.И. </w:t>
      </w:r>
      <w:r w:rsidR="00D9467D">
        <w:rPr>
          <w:color w:val="000000"/>
          <w:sz w:val="28"/>
          <w:szCs w:val="28"/>
        </w:rPr>
        <w:t xml:space="preserve">была </w:t>
      </w:r>
      <w:r w:rsidR="00D9467D" w:rsidRPr="00D9467D">
        <w:rPr>
          <w:color w:val="000000"/>
          <w:sz w:val="28"/>
          <w:szCs w:val="28"/>
        </w:rPr>
        <w:t>организова</w:t>
      </w:r>
      <w:r w:rsidR="00D9467D">
        <w:rPr>
          <w:color w:val="000000"/>
          <w:sz w:val="28"/>
          <w:szCs w:val="28"/>
        </w:rPr>
        <w:t>на</w:t>
      </w:r>
      <w:r w:rsidR="00D9467D" w:rsidRPr="00D9467D">
        <w:rPr>
          <w:color w:val="000000"/>
          <w:sz w:val="28"/>
          <w:szCs w:val="28"/>
        </w:rPr>
        <w:t xml:space="preserve"> работ</w:t>
      </w:r>
      <w:r w:rsidR="00D9467D">
        <w:rPr>
          <w:color w:val="000000"/>
          <w:sz w:val="28"/>
          <w:szCs w:val="28"/>
        </w:rPr>
        <w:t xml:space="preserve">апо обновлению данных ЛНА. </w:t>
      </w:r>
      <w:proofErr w:type="spellStart"/>
      <w:r w:rsidR="00D9467D">
        <w:rPr>
          <w:sz w:val="28"/>
          <w:szCs w:val="28"/>
        </w:rPr>
        <w:t>Ахмаева</w:t>
      </w:r>
      <w:proofErr w:type="spellEnd"/>
      <w:r w:rsidR="00D9467D">
        <w:rPr>
          <w:sz w:val="28"/>
          <w:szCs w:val="28"/>
        </w:rPr>
        <w:t xml:space="preserve"> А.Б. представила проекты актуальных локальных нормативных актов.</w:t>
      </w:r>
    </w:p>
    <w:p w:rsidR="00D9467D" w:rsidRDefault="00D9467D" w:rsidP="00D9467D">
      <w:pPr>
        <w:spacing w:line="360" w:lineRule="auto"/>
        <w:ind w:firstLine="284"/>
        <w:jc w:val="both"/>
        <w:rPr>
          <w:sz w:val="28"/>
          <w:szCs w:val="28"/>
        </w:rPr>
      </w:pPr>
      <w:r w:rsidRPr="006A3E9B">
        <w:rPr>
          <w:b/>
          <w:sz w:val="28"/>
          <w:szCs w:val="28"/>
        </w:rPr>
        <w:t>Выступил:</w:t>
      </w:r>
      <w:r w:rsidR="000B310B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Мовтаев</w:t>
      </w:r>
      <w:proofErr w:type="spellEnd"/>
      <w:r>
        <w:rPr>
          <w:sz w:val="28"/>
          <w:szCs w:val="28"/>
        </w:rPr>
        <w:t xml:space="preserve"> А.А., заместитель директора по ИКТ, который отметил, что после утверждения нужно разместить на официальном сайте </w:t>
      </w:r>
      <w:proofErr w:type="gramStart"/>
      <w:r>
        <w:rPr>
          <w:sz w:val="28"/>
          <w:szCs w:val="28"/>
        </w:rPr>
        <w:t>школы</w:t>
      </w:r>
      <w:proofErr w:type="gramEnd"/>
      <w:r>
        <w:rPr>
          <w:sz w:val="28"/>
          <w:szCs w:val="28"/>
        </w:rPr>
        <w:t xml:space="preserve"> актуализированные локальные нормативные акты. </w:t>
      </w:r>
    </w:p>
    <w:p w:rsidR="00642C92" w:rsidRDefault="00642C92" w:rsidP="00642C92">
      <w:pPr>
        <w:spacing w:line="360" w:lineRule="auto"/>
        <w:jc w:val="both"/>
        <w:rPr>
          <w:b/>
          <w:sz w:val="28"/>
          <w:szCs w:val="28"/>
        </w:rPr>
      </w:pPr>
    </w:p>
    <w:p w:rsidR="00D9467D" w:rsidRPr="003323DD" w:rsidRDefault="00D9467D" w:rsidP="00642C92">
      <w:pPr>
        <w:spacing w:line="360" w:lineRule="auto"/>
        <w:jc w:val="both"/>
        <w:rPr>
          <w:b/>
          <w:sz w:val="28"/>
          <w:szCs w:val="28"/>
        </w:rPr>
      </w:pPr>
      <w:r w:rsidRPr="003323DD">
        <w:rPr>
          <w:b/>
          <w:sz w:val="28"/>
          <w:szCs w:val="28"/>
        </w:rPr>
        <w:t>Решили:</w:t>
      </w:r>
    </w:p>
    <w:p w:rsidR="00D65C53" w:rsidRPr="00D65C53" w:rsidRDefault="00936FD9" w:rsidP="00936FD9">
      <w:pPr>
        <w:widowControl w:val="0"/>
        <w:spacing w:after="200" w:line="360" w:lineRule="auto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65C53" w:rsidRPr="00D65C53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D65C53" w:rsidRPr="00D65C53">
        <w:rPr>
          <w:sz w:val="28"/>
          <w:szCs w:val="28"/>
        </w:rPr>
        <w:t>актуализированные локальные нормативные акты (приложение 1)</w:t>
      </w:r>
      <w:r w:rsidR="00D65C53" w:rsidRPr="00D65C53">
        <w:rPr>
          <w:rFonts w:eastAsiaTheme="minorHAnsi"/>
          <w:sz w:val="28"/>
          <w:szCs w:val="28"/>
          <w:lang w:eastAsia="en-US"/>
        </w:rPr>
        <w:t>.</w:t>
      </w:r>
    </w:p>
    <w:p w:rsidR="00D65C53" w:rsidRPr="00D65C53" w:rsidRDefault="00936FD9" w:rsidP="00936FD9">
      <w:pPr>
        <w:widowControl w:val="0"/>
        <w:spacing w:after="200" w:line="360" w:lineRule="auto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D65C53" w:rsidRPr="00D65C53">
        <w:rPr>
          <w:rFonts w:eastAsiaTheme="minorHAnsi"/>
          <w:sz w:val="28"/>
          <w:szCs w:val="28"/>
          <w:lang w:eastAsia="en-US"/>
        </w:rPr>
        <w:t xml:space="preserve">Признать утратившим силу </w:t>
      </w:r>
      <w:r w:rsidR="00D65C53" w:rsidRPr="00D65C53">
        <w:rPr>
          <w:sz w:val="28"/>
          <w:szCs w:val="28"/>
        </w:rPr>
        <w:t>ЛНА(приложение 2)</w:t>
      </w:r>
      <w:r w:rsidR="00D65C53" w:rsidRPr="00D65C53">
        <w:rPr>
          <w:rFonts w:eastAsiaTheme="minorHAnsi"/>
          <w:sz w:val="28"/>
          <w:szCs w:val="28"/>
          <w:lang w:eastAsia="en-US"/>
        </w:rPr>
        <w:t>.</w:t>
      </w:r>
    </w:p>
    <w:p w:rsidR="00D65C53" w:rsidRPr="00D65C53" w:rsidRDefault="00936FD9" w:rsidP="00936FD9">
      <w:pPr>
        <w:widowControl w:val="0"/>
        <w:spacing w:after="200" w:line="360" w:lineRule="auto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D65C53" w:rsidRPr="00D65C53">
        <w:rPr>
          <w:rFonts w:eastAsiaTheme="minorHAnsi"/>
          <w:sz w:val="28"/>
          <w:szCs w:val="28"/>
          <w:lang w:eastAsia="en-US"/>
        </w:rPr>
        <w:t xml:space="preserve">Ввести в действие </w:t>
      </w:r>
      <w:r w:rsidR="00D65C53" w:rsidRPr="00D65C53">
        <w:rPr>
          <w:sz w:val="28"/>
          <w:szCs w:val="28"/>
        </w:rPr>
        <w:t xml:space="preserve">актуализированные локальные нормативные акты </w:t>
      </w:r>
      <w:r w:rsidR="00D65C53" w:rsidRPr="00D65C53">
        <w:rPr>
          <w:rFonts w:eastAsiaTheme="minorHAnsi"/>
          <w:sz w:val="28"/>
          <w:szCs w:val="28"/>
          <w:lang w:eastAsia="en-US"/>
        </w:rPr>
        <w:t>с 1</w:t>
      </w:r>
      <w:r w:rsidR="00B84933">
        <w:rPr>
          <w:rFonts w:eastAsiaTheme="minorHAnsi"/>
          <w:sz w:val="28"/>
          <w:szCs w:val="28"/>
          <w:lang w:eastAsia="en-US"/>
        </w:rPr>
        <w:t>0</w:t>
      </w:r>
      <w:r w:rsidR="00D65C53" w:rsidRPr="00D65C53">
        <w:rPr>
          <w:rFonts w:eastAsiaTheme="minorHAnsi"/>
          <w:sz w:val="28"/>
          <w:szCs w:val="28"/>
          <w:lang w:eastAsia="en-US"/>
        </w:rPr>
        <w:t>.01.202</w:t>
      </w:r>
      <w:r w:rsidR="00B84933">
        <w:rPr>
          <w:rFonts w:eastAsiaTheme="minorHAnsi"/>
          <w:sz w:val="28"/>
          <w:szCs w:val="28"/>
          <w:lang w:eastAsia="en-US"/>
        </w:rPr>
        <w:t>2</w:t>
      </w:r>
      <w:r w:rsidR="00D65C53" w:rsidRPr="00D65C53">
        <w:rPr>
          <w:rFonts w:eastAsiaTheme="minorHAnsi"/>
          <w:sz w:val="28"/>
          <w:szCs w:val="28"/>
          <w:lang w:eastAsia="en-US"/>
        </w:rPr>
        <w:t>г.</w:t>
      </w:r>
    </w:p>
    <w:p w:rsidR="006A3B95" w:rsidRDefault="006A3B95" w:rsidP="00F1056F">
      <w:pPr>
        <w:spacing w:line="360" w:lineRule="auto"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F23F77" w:rsidRDefault="00F23F77" w:rsidP="00020490">
      <w:pPr>
        <w:rPr>
          <w:rFonts w:eastAsiaTheme="minorHAnsi"/>
          <w:sz w:val="28"/>
          <w:szCs w:val="28"/>
          <w:lang w:eastAsia="en-US"/>
        </w:rPr>
      </w:pPr>
    </w:p>
    <w:p w:rsidR="00FD3700" w:rsidRDefault="00FD3700" w:rsidP="00936FD9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Председатель                                   </w:t>
      </w:r>
      <w:proofErr w:type="spellStart"/>
      <w:r w:rsidR="00D94A9E">
        <w:rPr>
          <w:rFonts w:eastAsiaTheme="minorHAnsi"/>
          <w:sz w:val="28"/>
          <w:szCs w:val="28"/>
          <w:lang w:eastAsia="en-US"/>
        </w:rPr>
        <w:t>Ахмаева</w:t>
      </w:r>
      <w:proofErr w:type="spellEnd"/>
      <w:r w:rsidR="00D94A9E">
        <w:rPr>
          <w:rFonts w:eastAsiaTheme="minorHAnsi"/>
          <w:sz w:val="28"/>
          <w:szCs w:val="28"/>
          <w:lang w:eastAsia="en-US"/>
        </w:rPr>
        <w:t xml:space="preserve"> А.Б.</w:t>
      </w:r>
    </w:p>
    <w:p w:rsidR="00CB0650" w:rsidRDefault="00CB0650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C741D1" w:rsidRDefault="00FD3700" w:rsidP="00936FD9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Секретарь                                         </w:t>
      </w:r>
      <w:proofErr w:type="spellStart"/>
      <w:r w:rsidR="00594918">
        <w:rPr>
          <w:rFonts w:eastAsiaTheme="minorHAnsi"/>
          <w:sz w:val="28"/>
          <w:szCs w:val="28"/>
          <w:lang w:eastAsia="en-US"/>
        </w:rPr>
        <w:t>Муталиева</w:t>
      </w:r>
      <w:proofErr w:type="spellEnd"/>
      <w:r w:rsidR="00594918">
        <w:rPr>
          <w:rFonts w:eastAsiaTheme="minorHAnsi"/>
          <w:sz w:val="28"/>
          <w:szCs w:val="28"/>
          <w:lang w:eastAsia="en-US"/>
        </w:rPr>
        <w:t xml:space="preserve"> Ф.Р.</w:t>
      </w:r>
    </w:p>
    <w:p w:rsidR="00194AB2" w:rsidRDefault="00194AB2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194AB2" w:rsidRDefault="00194AB2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194AB2" w:rsidRDefault="00194AB2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194AB2" w:rsidRDefault="00194AB2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194AB2" w:rsidRDefault="00194AB2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23F77" w:rsidRDefault="00F23F77" w:rsidP="00EE2820">
      <w:pPr>
        <w:rPr>
          <w:rFonts w:eastAsiaTheme="minorHAnsi"/>
          <w:sz w:val="28"/>
          <w:szCs w:val="28"/>
          <w:lang w:eastAsia="en-US"/>
        </w:rPr>
      </w:pPr>
    </w:p>
    <w:p w:rsidR="00194AB2" w:rsidRDefault="00194AB2" w:rsidP="00FD370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D65C53" w:rsidRPr="00D65C53" w:rsidRDefault="00D65C53" w:rsidP="00D65C53">
      <w:pPr>
        <w:spacing w:after="200" w:line="276" w:lineRule="auto"/>
        <w:jc w:val="right"/>
        <w:rPr>
          <w:rFonts w:eastAsiaTheme="minorHAnsi"/>
          <w:sz w:val="28"/>
          <w:lang w:eastAsia="en-US"/>
        </w:rPr>
      </w:pPr>
      <w:r w:rsidRPr="00D65C53">
        <w:rPr>
          <w:rFonts w:eastAsiaTheme="minorHAnsi"/>
          <w:sz w:val="28"/>
          <w:lang w:eastAsia="en-US"/>
        </w:rPr>
        <w:t>Приложение1.</w:t>
      </w:r>
    </w:p>
    <w:p w:rsidR="00F23F77" w:rsidRDefault="00F23F77" w:rsidP="00F23F77">
      <w:pPr>
        <w:spacing w:after="200" w:line="276" w:lineRule="auto"/>
        <w:ind w:left="360"/>
        <w:contextualSpacing/>
        <w:rPr>
          <w:rFonts w:eastAsiaTheme="minorHAnsi"/>
          <w:sz w:val="28"/>
          <w:lang w:eastAsia="en-US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567"/>
        <w:gridCol w:w="8528"/>
      </w:tblGrid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Наименование локального акта школы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формах, периодичности и порядке осуществления текущего контроля успеваемости промежуточной аттестации обучающихся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разработке, принятии, утверждении и внесении изменений в основные образовательные программы начального общего, основного общего и среднего общего образования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формировании фонда оценочных средств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порядке формирования учебного плана с требованиями ФГОС общего образования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порядке зачета результатов, обучающихся в других образовательных организациях, осуществляющих образовательную деятельность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об организации обучения детей с ОВЗ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об организации образовательного процесса с использованием электронного обучения и дистанционных образовательных технологий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системе оценивания обучающихся и нормах оценок по учебным предметам учебного плана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порядке обучения по индивидуальному учебному плану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 xml:space="preserve">Положение о правилах приема обучающихся 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режиме занятий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об языке(ах) обучения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 xml:space="preserve">Положение об основных образовательных программах 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рабочих программах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порядке представления учебников для детей ОВЗ надомного обучения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реализации ООП с применением ЭОР и ДОТ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об учебном проекте</w:t>
            </w:r>
          </w:p>
        </w:tc>
      </w:tr>
    </w:tbl>
    <w:p w:rsidR="00F23F77" w:rsidRDefault="00F23F77" w:rsidP="00F23F77">
      <w:pPr>
        <w:spacing w:after="200" w:line="276" w:lineRule="auto"/>
        <w:ind w:left="360"/>
        <w:contextualSpacing/>
        <w:rPr>
          <w:rFonts w:eastAsiaTheme="minorHAnsi"/>
          <w:sz w:val="28"/>
          <w:lang w:eastAsia="en-US"/>
        </w:rPr>
      </w:pPr>
    </w:p>
    <w:p w:rsidR="00F23F77" w:rsidRDefault="00F23F77" w:rsidP="00F23F77">
      <w:pPr>
        <w:spacing w:after="200" w:line="276" w:lineRule="auto"/>
        <w:ind w:left="360"/>
        <w:contextualSpacing/>
        <w:rPr>
          <w:rFonts w:eastAsiaTheme="minorHAnsi"/>
          <w:sz w:val="28"/>
          <w:lang w:eastAsia="en-US"/>
        </w:rPr>
      </w:pPr>
    </w:p>
    <w:p w:rsidR="00F23F77" w:rsidRDefault="00F23F77" w:rsidP="00F23F77">
      <w:pPr>
        <w:spacing w:after="200" w:line="276" w:lineRule="auto"/>
        <w:ind w:left="360"/>
        <w:contextualSpacing/>
        <w:rPr>
          <w:rFonts w:eastAsiaTheme="minorHAnsi"/>
          <w:sz w:val="28"/>
          <w:lang w:eastAsia="en-US"/>
        </w:rPr>
      </w:pPr>
    </w:p>
    <w:p w:rsidR="00F23F77" w:rsidRDefault="00F23F77" w:rsidP="00F23F77">
      <w:pPr>
        <w:spacing w:after="200" w:line="276" w:lineRule="auto"/>
        <w:ind w:left="360"/>
        <w:contextualSpacing/>
        <w:rPr>
          <w:rFonts w:eastAsiaTheme="minorHAnsi"/>
          <w:sz w:val="28"/>
          <w:lang w:eastAsia="en-US"/>
        </w:rPr>
      </w:pPr>
    </w:p>
    <w:p w:rsidR="00F23F77" w:rsidRDefault="00F23F77" w:rsidP="00F23F77">
      <w:pPr>
        <w:spacing w:after="200" w:line="276" w:lineRule="auto"/>
        <w:ind w:left="360"/>
        <w:contextualSpacing/>
        <w:rPr>
          <w:rFonts w:eastAsiaTheme="minorHAnsi"/>
          <w:sz w:val="28"/>
          <w:lang w:eastAsia="en-US"/>
        </w:rPr>
      </w:pPr>
    </w:p>
    <w:p w:rsidR="00F23F77" w:rsidRDefault="00F23F77" w:rsidP="00F23F77">
      <w:pPr>
        <w:spacing w:after="200" w:line="276" w:lineRule="auto"/>
        <w:ind w:left="360"/>
        <w:contextualSpacing/>
        <w:rPr>
          <w:rFonts w:eastAsiaTheme="minorHAnsi"/>
          <w:sz w:val="28"/>
          <w:lang w:eastAsia="en-US"/>
        </w:rPr>
      </w:pPr>
    </w:p>
    <w:p w:rsidR="00F23F77" w:rsidRDefault="00F23F77" w:rsidP="00F23F77">
      <w:pPr>
        <w:spacing w:after="200" w:line="276" w:lineRule="auto"/>
        <w:ind w:left="360"/>
        <w:contextualSpacing/>
        <w:rPr>
          <w:rFonts w:eastAsiaTheme="minorHAnsi"/>
          <w:sz w:val="28"/>
          <w:lang w:eastAsia="en-US"/>
        </w:rPr>
      </w:pPr>
    </w:p>
    <w:p w:rsidR="00F23F77" w:rsidRDefault="00F23F77" w:rsidP="00F23F77">
      <w:pPr>
        <w:spacing w:after="200" w:line="276" w:lineRule="auto"/>
        <w:ind w:left="360"/>
        <w:contextualSpacing/>
        <w:rPr>
          <w:rFonts w:eastAsiaTheme="minorHAnsi"/>
          <w:sz w:val="28"/>
          <w:lang w:eastAsia="en-US"/>
        </w:rPr>
      </w:pPr>
    </w:p>
    <w:p w:rsidR="00DD7F68" w:rsidRDefault="00DD7F68" w:rsidP="00F23F77">
      <w:pPr>
        <w:spacing w:after="200" w:line="276" w:lineRule="auto"/>
        <w:ind w:left="360"/>
        <w:contextualSpacing/>
        <w:rPr>
          <w:rFonts w:eastAsiaTheme="minorHAnsi"/>
          <w:sz w:val="28"/>
          <w:lang w:eastAsia="en-US"/>
        </w:rPr>
      </w:pPr>
    </w:p>
    <w:p w:rsidR="00F23F77" w:rsidRDefault="00F23F77" w:rsidP="00F23F77">
      <w:pPr>
        <w:spacing w:after="200" w:line="276" w:lineRule="auto"/>
        <w:ind w:left="360"/>
        <w:contextualSpacing/>
        <w:rPr>
          <w:rFonts w:eastAsiaTheme="minorHAnsi"/>
          <w:sz w:val="28"/>
          <w:lang w:eastAsia="en-US"/>
        </w:rPr>
      </w:pPr>
    </w:p>
    <w:p w:rsidR="00D65C53" w:rsidRDefault="00D65C53" w:rsidP="00F23F77">
      <w:pPr>
        <w:spacing w:after="200" w:line="276" w:lineRule="auto"/>
        <w:ind w:left="360"/>
        <w:contextualSpacing/>
        <w:jc w:val="right"/>
        <w:rPr>
          <w:rFonts w:eastAsiaTheme="minorHAnsi"/>
          <w:sz w:val="28"/>
          <w:lang w:eastAsia="en-US"/>
        </w:rPr>
      </w:pPr>
      <w:r w:rsidRPr="00D65C53">
        <w:rPr>
          <w:rFonts w:eastAsiaTheme="minorHAnsi"/>
          <w:sz w:val="28"/>
          <w:lang w:eastAsia="en-US"/>
        </w:rPr>
        <w:lastRenderedPageBreak/>
        <w:t>Приложение2.</w:t>
      </w:r>
    </w:p>
    <w:p w:rsidR="00DD7F68" w:rsidRDefault="00DD7F68" w:rsidP="00F23F77">
      <w:pPr>
        <w:spacing w:after="200" w:line="276" w:lineRule="auto"/>
        <w:ind w:left="360"/>
        <w:contextualSpacing/>
        <w:jc w:val="right"/>
        <w:rPr>
          <w:rFonts w:eastAsiaTheme="minorHAnsi"/>
          <w:sz w:val="28"/>
          <w:lang w:eastAsia="en-US"/>
        </w:rPr>
      </w:pPr>
    </w:p>
    <w:p w:rsidR="00F23F77" w:rsidRDefault="00F23F77" w:rsidP="00F23F77">
      <w:pPr>
        <w:spacing w:after="200" w:line="276" w:lineRule="auto"/>
        <w:ind w:left="360"/>
        <w:contextualSpacing/>
        <w:jc w:val="right"/>
        <w:rPr>
          <w:rFonts w:eastAsiaTheme="minorHAnsi"/>
          <w:sz w:val="28"/>
          <w:lang w:eastAsia="en-US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567"/>
        <w:gridCol w:w="8528"/>
      </w:tblGrid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Наименование локального акта школы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формах, периодичности и порядке осуществления текущего контроля успеваемости промежуточной аттестации обучающихся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разработке, принятии, утверждении и внесении изменений в основные образовательные программы начального общего, основного общего и среднего общего образования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формировании фонда оценочных средств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порядке формирования учебного плана с требованиями ФГОС общего образования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порядке зачета результатов, обучающихся в других образовательных организациях, осуществляющих образовательную деятельность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об организации обучения детей с ОВЗ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об организации образовательного процесса с использованием электронного обучения и дистанционных образовательных технологий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системе оценивания обучающихся и нормах оценок по учебным предметам учебного плана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порядке обучения по индивидуальному учебному плану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 xml:space="preserve">Положение о правилах приема обучающихся 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режиме занятий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об языке(ах) обучения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 xml:space="preserve">Положение об основных образовательных программах 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рабочих программах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порядке представления учебников для детей ОВЗ надомного обучения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 реализации ООП с применением ЭОР и ДОТ</w:t>
            </w:r>
          </w:p>
        </w:tc>
      </w:tr>
      <w:tr w:rsidR="00577F34" w:rsidRPr="00577F34" w:rsidTr="00C810B5">
        <w:tc>
          <w:tcPr>
            <w:tcW w:w="567" w:type="dxa"/>
          </w:tcPr>
          <w:p w:rsidR="00577F34" w:rsidRPr="00577F34" w:rsidRDefault="00577F34" w:rsidP="00577F34">
            <w:pPr>
              <w:spacing w:line="24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528" w:type="dxa"/>
          </w:tcPr>
          <w:p w:rsidR="00577F34" w:rsidRPr="00577F34" w:rsidRDefault="00577F34" w:rsidP="00577F34">
            <w:pPr>
              <w:spacing w:line="240" w:lineRule="auto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77F34">
              <w:rPr>
                <w:rFonts w:eastAsiaTheme="minorHAnsi"/>
                <w:sz w:val="28"/>
                <w:szCs w:val="28"/>
                <w:lang w:eastAsia="en-US"/>
              </w:rPr>
              <w:t>Положение об учебном проекте</w:t>
            </w:r>
          </w:p>
        </w:tc>
      </w:tr>
    </w:tbl>
    <w:p w:rsidR="00D65C53" w:rsidRPr="00D65C53" w:rsidRDefault="00D65C53" w:rsidP="00D65C53">
      <w:pPr>
        <w:spacing w:after="200" w:line="276" w:lineRule="auto"/>
        <w:rPr>
          <w:rFonts w:eastAsiaTheme="minorHAnsi"/>
          <w:sz w:val="28"/>
          <w:lang w:eastAsia="en-US"/>
        </w:rPr>
      </w:pPr>
      <w:bookmarkStart w:id="0" w:name="_GoBack"/>
      <w:bookmarkEnd w:id="0"/>
    </w:p>
    <w:sectPr w:rsidR="00D65C53" w:rsidRPr="00D65C53" w:rsidSect="00020490">
      <w:pgSz w:w="11906" w:h="16838"/>
      <w:pgMar w:top="540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834"/>
    <w:multiLevelType w:val="multilevel"/>
    <w:tmpl w:val="0FE4FB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073948C6"/>
    <w:multiLevelType w:val="multilevel"/>
    <w:tmpl w:val="B264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9022A"/>
    <w:multiLevelType w:val="hybridMultilevel"/>
    <w:tmpl w:val="80549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46E06"/>
    <w:multiLevelType w:val="hybridMultilevel"/>
    <w:tmpl w:val="05447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F1149"/>
    <w:multiLevelType w:val="hybridMultilevel"/>
    <w:tmpl w:val="BBFE6E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FA3608"/>
    <w:multiLevelType w:val="hybridMultilevel"/>
    <w:tmpl w:val="3F5AB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53014"/>
    <w:multiLevelType w:val="hybridMultilevel"/>
    <w:tmpl w:val="4AE47CD2"/>
    <w:lvl w:ilvl="0" w:tplc="C73CEB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F4D1EF0"/>
    <w:multiLevelType w:val="hybridMultilevel"/>
    <w:tmpl w:val="E51AC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D6D9F"/>
    <w:multiLevelType w:val="multilevel"/>
    <w:tmpl w:val="685E6D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BFE762F"/>
    <w:multiLevelType w:val="hybridMultilevel"/>
    <w:tmpl w:val="809C6D50"/>
    <w:lvl w:ilvl="0" w:tplc="F12CEF2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A261C9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69A4B9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8A32A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43AEA8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EB4D6B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DED17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B7C60F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2069C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5C3763BB"/>
    <w:multiLevelType w:val="multilevel"/>
    <w:tmpl w:val="7F0677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614844ED"/>
    <w:multiLevelType w:val="hybridMultilevel"/>
    <w:tmpl w:val="D9FAE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50371B"/>
    <w:multiLevelType w:val="hybridMultilevel"/>
    <w:tmpl w:val="3DC40474"/>
    <w:lvl w:ilvl="0" w:tplc="8C204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F346750"/>
    <w:multiLevelType w:val="multilevel"/>
    <w:tmpl w:val="685E6D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71004D75"/>
    <w:multiLevelType w:val="multilevel"/>
    <w:tmpl w:val="83A824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750B69CB"/>
    <w:multiLevelType w:val="hybridMultilevel"/>
    <w:tmpl w:val="80549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438C1"/>
    <w:multiLevelType w:val="hybridMultilevel"/>
    <w:tmpl w:val="0F661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523EF"/>
    <w:multiLevelType w:val="hybridMultilevel"/>
    <w:tmpl w:val="8EBEB658"/>
    <w:lvl w:ilvl="0" w:tplc="E58262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6"/>
  </w:num>
  <w:num w:numId="5">
    <w:abstractNumId w:val="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3"/>
  </w:num>
  <w:num w:numId="10">
    <w:abstractNumId w:val="17"/>
  </w:num>
  <w:num w:numId="11">
    <w:abstractNumId w:val="14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2"/>
  </w:num>
  <w:num w:numId="16">
    <w:abstractNumId w:val="2"/>
  </w:num>
  <w:num w:numId="17">
    <w:abstractNumId w:val="15"/>
  </w:num>
  <w:num w:numId="18">
    <w:abstractNumId w:val="3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characterSpacingControl w:val="doNotCompress"/>
  <w:compat/>
  <w:rsids>
    <w:rsidRoot w:val="0047391E"/>
    <w:rsid w:val="00001E8E"/>
    <w:rsid w:val="00006F79"/>
    <w:rsid w:val="00020490"/>
    <w:rsid w:val="000417D1"/>
    <w:rsid w:val="00054CF1"/>
    <w:rsid w:val="000B310B"/>
    <w:rsid w:val="000B7F2C"/>
    <w:rsid w:val="000C548A"/>
    <w:rsid w:val="000F49B4"/>
    <w:rsid w:val="00115B88"/>
    <w:rsid w:val="00183857"/>
    <w:rsid w:val="00191287"/>
    <w:rsid w:val="00192859"/>
    <w:rsid w:val="00194AB2"/>
    <w:rsid w:val="001E4DF2"/>
    <w:rsid w:val="00226F8B"/>
    <w:rsid w:val="00247B95"/>
    <w:rsid w:val="00262B38"/>
    <w:rsid w:val="00271B25"/>
    <w:rsid w:val="0029074E"/>
    <w:rsid w:val="002A2E2B"/>
    <w:rsid w:val="002C0157"/>
    <w:rsid w:val="002F4667"/>
    <w:rsid w:val="0039101C"/>
    <w:rsid w:val="0040414C"/>
    <w:rsid w:val="004122A7"/>
    <w:rsid w:val="00416588"/>
    <w:rsid w:val="00420A70"/>
    <w:rsid w:val="004265C9"/>
    <w:rsid w:val="0047391E"/>
    <w:rsid w:val="004D00F4"/>
    <w:rsid w:val="004F2079"/>
    <w:rsid w:val="005018DB"/>
    <w:rsid w:val="00510941"/>
    <w:rsid w:val="00521D5B"/>
    <w:rsid w:val="00530594"/>
    <w:rsid w:val="00531EC0"/>
    <w:rsid w:val="00557F05"/>
    <w:rsid w:val="00577F34"/>
    <w:rsid w:val="00594918"/>
    <w:rsid w:val="005968ED"/>
    <w:rsid w:val="005D1B21"/>
    <w:rsid w:val="005E7993"/>
    <w:rsid w:val="0062119A"/>
    <w:rsid w:val="00640B10"/>
    <w:rsid w:val="00642C92"/>
    <w:rsid w:val="00644CB1"/>
    <w:rsid w:val="00674A5C"/>
    <w:rsid w:val="0069299A"/>
    <w:rsid w:val="00693CF1"/>
    <w:rsid w:val="006A1A25"/>
    <w:rsid w:val="006A3B95"/>
    <w:rsid w:val="00793DC8"/>
    <w:rsid w:val="007F2FA3"/>
    <w:rsid w:val="00874E31"/>
    <w:rsid w:val="00885164"/>
    <w:rsid w:val="008F5F06"/>
    <w:rsid w:val="00915481"/>
    <w:rsid w:val="00936FD9"/>
    <w:rsid w:val="009C54A9"/>
    <w:rsid w:val="00A46ECE"/>
    <w:rsid w:val="00A71D08"/>
    <w:rsid w:val="00A819DF"/>
    <w:rsid w:val="00AA7E67"/>
    <w:rsid w:val="00AC47CB"/>
    <w:rsid w:val="00B81D0D"/>
    <w:rsid w:val="00B84933"/>
    <w:rsid w:val="00BA1BCD"/>
    <w:rsid w:val="00BB08D5"/>
    <w:rsid w:val="00BE00DA"/>
    <w:rsid w:val="00C25BDC"/>
    <w:rsid w:val="00C30091"/>
    <w:rsid w:val="00C46FD0"/>
    <w:rsid w:val="00C558B3"/>
    <w:rsid w:val="00C741D1"/>
    <w:rsid w:val="00CB0650"/>
    <w:rsid w:val="00CF471C"/>
    <w:rsid w:val="00D334D6"/>
    <w:rsid w:val="00D52ECE"/>
    <w:rsid w:val="00D65C53"/>
    <w:rsid w:val="00D9467D"/>
    <w:rsid w:val="00D94A9E"/>
    <w:rsid w:val="00DD0B50"/>
    <w:rsid w:val="00DD763D"/>
    <w:rsid w:val="00DD7F68"/>
    <w:rsid w:val="00E25B9D"/>
    <w:rsid w:val="00E63465"/>
    <w:rsid w:val="00E726E4"/>
    <w:rsid w:val="00E73F08"/>
    <w:rsid w:val="00E7689B"/>
    <w:rsid w:val="00EE2820"/>
    <w:rsid w:val="00F1056F"/>
    <w:rsid w:val="00F23F77"/>
    <w:rsid w:val="00F42FDE"/>
    <w:rsid w:val="00F44D03"/>
    <w:rsid w:val="00F716F6"/>
    <w:rsid w:val="00FA4667"/>
    <w:rsid w:val="00FD3700"/>
    <w:rsid w:val="00FF6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68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23F77"/>
    <w:pPr>
      <w:keepNext/>
      <w:keepLines/>
      <w:spacing w:before="48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3F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-p">
    <w:name w:val="example-p"/>
    <w:basedOn w:val="a"/>
    <w:rsid w:val="0047391E"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styleId="a3">
    <w:name w:val="Normal (Web)"/>
    <w:basedOn w:val="a"/>
    <w:uiPriority w:val="99"/>
    <w:rsid w:val="0047391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ubtle Emphasis"/>
    <w:basedOn w:val="a0"/>
    <w:uiPriority w:val="19"/>
    <w:qFormat/>
    <w:rsid w:val="0047391E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rsid w:val="00420A70"/>
    <w:pPr>
      <w:spacing w:line="240" w:lineRule="auto"/>
      <w:ind w:left="720"/>
      <w:contextualSpacing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C47CB"/>
    <w:rPr>
      <w:color w:val="0000FF"/>
      <w:u w:val="single"/>
    </w:rPr>
  </w:style>
  <w:style w:type="paragraph" w:customStyle="1" w:styleId="Default">
    <w:name w:val="Default"/>
    <w:rsid w:val="00C300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4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4918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194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23F7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№1_"/>
    <w:link w:val="12"/>
    <w:rsid w:val="00F23F77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23F77"/>
    <w:pPr>
      <w:widowControl w:val="0"/>
      <w:shd w:val="clear" w:color="auto" w:fill="FFFFFF"/>
      <w:spacing w:before="6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F23F77"/>
    <w:pPr>
      <w:suppressAutoHyphens/>
      <w:spacing w:line="240" w:lineRule="auto"/>
      <w:jc w:val="center"/>
    </w:pPr>
    <w:rPr>
      <w:b/>
      <w:bCs/>
      <w:sz w:val="28"/>
      <w:szCs w:val="24"/>
      <w:lang w:eastAsia="zh-CN"/>
    </w:rPr>
  </w:style>
  <w:style w:type="paragraph" w:styleId="aa">
    <w:name w:val="Body Text"/>
    <w:basedOn w:val="a"/>
    <w:link w:val="ab"/>
    <w:rsid w:val="00F23F77"/>
    <w:pPr>
      <w:widowControl w:val="0"/>
      <w:spacing w:line="360" w:lineRule="auto"/>
    </w:pPr>
    <w:rPr>
      <w:color w:val="000000"/>
      <w:sz w:val="26"/>
      <w:szCs w:val="20"/>
    </w:rPr>
  </w:style>
  <w:style w:type="character" w:customStyle="1" w:styleId="ab">
    <w:name w:val="Основной текст Знак"/>
    <w:basedOn w:val="a0"/>
    <w:link w:val="aa"/>
    <w:rsid w:val="00F23F7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3F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74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cp:lastPrinted>2022-02-20T15:24:00Z</cp:lastPrinted>
  <dcterms:created xsi:type="dcterms:W3CDTF">2022-04-11T05:49:00Z</dcterms:created>
  <dcterms:modified xsi:type="dcterms:W3CDTF">2022-04-11T16:44:00Z</dcterms:modified>
</cp:coreProperties>
</file>